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SN-10077 (Sachsen) — Erlaubnisvorbehalte</w:t>
      </w:r>
    </w:p>
    <w:p>
      <w:r>
        <w:rPr>
          <w:color w:val="555555"/>
          <w:sz w:val="18"/>
        </w:rPr>
        <w:t xml:space="preserve">Verordnung des Regierungspräsidiums Chemnitz zur Festsetzung des Naturschutzgebietes „Großer Kranichsee“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Folgende Maßnahmen, die ebenfalls nachteilige Auswirkungen auf den Schutzzweck nach § 3 haben können, bedürfen der schriftlichen Erlaubnis der örtlich zuständigen unteren Naturschutzbehörde:</w:t>
      </w:r>
    </w:p>
    <w:p>
      <w:r>
        <w:t xml:space="preserve">1. neue Skiloipen einzurichten oder zu markieren;</w:t>
      </w:r>
    </w:p>
    <w:p>
      <w:r>
        <w:t xml:space="preserve">2. besucherlenkende Maßnahmen wie das Aufstellen, Anbringen oder Aufzeichnen von Hinweisschildern und Markierungen für Wanderwege vorzunehmen;</w:t>
      </w:r>
    </w:p>
    <w:p>
      <w:r>
        <w:t xml:space="preserve">3. Kalk außerhalb mooriger oder anmooriger Standorte flächenhaft auszubringen;</w:t>
      </w:r>
    </w:p>
    <w:p>
      <w:r>
        <w:t xml:space="preserve">4. schädlingsbefallene Bäume in der in § 2 Abs. 5 bezeichneten Totalreservatszone zu fällen oder aus dieser zu entnehmen;</w:t>
      </w:r>
    </w:p>
    <w:p>
      <w:r>
        <w:t xml:space="preserve">5. nicht standortheimische Baumarten wie Lärche, Omorikafichte oder Douglasie anzubauen;</w:t>
      </w:r>
    </w:p>
    <w:p>
      <w:r>
        <w:t xml:space="preserve">6. Biozide im Wald im Sinne des Waldgesetzes für den Freistaat Sachsen ( SächsWaldG ) vom 10. April 1992 (SächsGVBl. S. 137), zuletzt geändert durch Artikel 73 des Gesetzes vom 29. Januar 2008</w:t>
      </w:r>
    </w:p>
    <w:p>
      <w:r>
        <w:t xml:space="preserve">7. jagdliche Einrichtungen wie feste Hochsitze, Wildäcker, Kirrungen oder sonstige Fütterungsstellen anzulegen.</w:t>
      </w:r>
    </w:p>
    <w:p>
      <w:r>
        <w:t xml:space="preserve">(2) Die Erlaubnis ist zu erteilen, wenn die Handlung den Schutzzweck nach § 3 nicht beeinträchtigt und Wirkungen der in § 4 genannten Art nicht zur Folge hat oder solche Wirkungen durch Auflagen oder Bedingungen abgewendet werden können. Einer Erlaubnis bedarf es nicht bei Handlungen der Forst- und Jagdbehörden des Freistaates Sachsen, sofern diese im Einvernehmen mit der zuständigen unteren Naturschutzbehörde ergehen.</w:t>
      </w:r>
    </w:p>
    <w:p>
      <w:r>
        <w:rPr>
          <w:color w:val="555555"/>
          <w:sz w:val="17"/>
        </w:rPr>
        <w:t xml:space="preserve">Zitiervorschlag: § 5 SN-10077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https://recht.nulegal.eu/gesetze/SN-10077/5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