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SN-10077 (Sachsen) — Schutzzweck</w:t>
      </w:r>
    </w:p>
    <w:p>
      <w:r>
        <w:rPr>
          <w:color w:val="555555"/>
          <w:sz w:val="18"/>
        </w:rPr>
        <w:t xml:space="preserve">Verordnung des Regierungspräsidiums Chemnitz zur Festsetzung des Naturschutzgebietes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Schutzzweck ist:</w:t>
      </w:r>
    </w:p>
    <w:p>
      <w:r>
        <w:t xml:space="preserve">1. die Erhaltung und Entwicklung eines repräsentativen Ausschnittes des größten zusammenhängenden natürlichen Fichtenwaldgebietes des Freistaates Sachsen und der für die Umgebung der Hochmoore typischen Abfolge aus Rauschbeeren-Fichten-Moorwald (Vaccinio uliginosi-Piceetum), Torfmoos-Fichtenwald (Calamagrostis villosae-Piceetum sphagnetosum) und Wollreitgras-Fichtenwald (Calamagrostio villosae-Piceetum);</w:t>
      </w:r>
    </w:p>
    <w:p>
      <w:r>
        <w:t xml:space="preserve">2. die Erhaltung oder, soweit aktuell nicht gewährleistet, die Wiederherstellung eines günstigen Erhaltungszustandes der folgenden im Naturschutzgebiet vorkommenden natürlichen oder naturnahen Lebensraumtypen von gemeinschaftlichem Interesse gemäß Anhang I der FFH-RL:</w:t>
      </w:r>
    </w:p>
    <w:p>
      <w:r>
        <w:t xml:space="preserve">a)</w:t>
      </w:r>
    </w:p>
    <w:p>
      <w:r>
        <w:t xml:space="preserve">Montane Fichtenwälder (NATURA-2000-Code 9410);</w:t>
      </w:r>
    </w:p>
    <w:p>
      <w:r>
        <w:t xml:space="preserve">b)</w:t>
      </w:r>
    </w:p>
    <w:p>
      <w:r>
        <w:t xml:space="preserve">Übergangs- und Schwingrasenmoore (NATURA-2000-Code 7140);</w:t>
      </w:r>
    </w:p>
    <w:p>
      <w:r>
        <w:t xml:space="preserve">c)</w:t>
      </w:r>
    </w:p>
    <w:p>
      <w:r>
        <w:t xml:space="preserve">Regenerierbare Hochmoore (NATURA-2000-Code 7120);</w:t>
      </w:r>
    </w:p>
    <w:p>
      <w:r>
        <w:t xml:space="preserve">d)</w:t>
      </w:r>
    </w:p>
    <w:p>
      <w:r>
        <w:t xml:space="preserve">Lebende Hochmoore (NATURA-2000-Code 7110*);</w:t>
      </w:r>
    </w:p>
    <w:p>
      <w:r>
        <w:t xml:space="preserve">e)</w:t>
      </w:r>
    </w:p>
    <w:p>
      <w:r>
        <w:t xml:space="preserve">Fichten-Moorwälder (NATURA-2000-Code 91D4*);</w:t>
      </w:r>
    </w:p>
    <w:p>
      <w:r>
        <w:t xml:space="preserve">f)</w:t>
      </w:r>
    </w:p>
    <w:p>
      <w:r>
        <w:t xml:space="preserve">Bergkiefern-Moorwälder (NATURA-2000-Code 91D3*);</w:t>
      </w:r>
    </w:p>
    <w:p>
      <w:r>
        <w:t xml:space="preserve">g)</w:t>
      </w:r>
    </w:p>
    <w:p>
      <w:r>
        <w:t xml:space="preserve">Berg-Mähwiesen (NATURA-2000-Code 6520);</w:t>
      </w:r>
    </w:p>
    <w:p>
      <w:r>
        <w:t xml:space="preserve">h)</w:t>
      </w:r>
    </w:p>
    <w:p>
      <w:r>
        <w:t xml:space="preserve">Artenreiche Borstgrasrasen (NATURA-2000-Code 6230*);</w:t>
      </w:r>
    </w:p>
    <w:p>
      <w:r>
        <w:t xml:space="preserve">(*</w:t>
      </w:r>
    </w:p>
    <w:p>
      <w:r>
        <w:t xml:space="preserve">prioritäre Lebensraumtypen entsprechend Artikel 1 Buchst. d FFH-RL)</w:t>
      </w:r>
    </w:p>
    <w:p>
      <w:r>
        <w:t xml:space="preserve">3. die Erhaltung vom Menschen weitgehend ungestörter Entwicklungsabläufe der Natur innerhalb der Totalreservatszone nach § 2 Abs. 5;</w:t>
      </w:r>
    </w:p>
    <w:p>
      <w:r>
        <w:t xml:space="preserve">4. die Erhaltung und Entwicklung eines günstigen Erhaltungszustandes der im Naturschutzgebiet vorkommenden Populationen von Pflanzenarten, insbesondere Rosmarinheide, Moosbeere, Armblütige Segge, Schlammsegge, Schwarze Krähenbeere, Rauschbeere, Arnika und Bärwurz sowie von Flechten- und Moosarten, wie zum Beispiel Cladonia rangiferina, Cladonia elongata, Sphagnum fuscum, Hylocomium splendens und Barbilophozia lycopodioides;</w:t>
      </w:r>
    </w:p>
    <w:p>
      <w:r>
        <w:t xml:space="preserve">5. die Erhaltung und Entwicklung eines günstigen Erhaltungszustandes der im Naturschutzgebiet vorkommenden Populationen von Tierarten, wie Arktische Smaragdlibelle, Hochmoor Mosaikjungfer und Kreuzotter einschließlich der ihrer Fortpflanzung, Ernährung und Überwinterung dienenden Habitate;</w:t>
      </w:r>
    </w:p>
    <w:p>
      <w:r>
        <w:t xml:space="preserve">6. die Erhaltung und Wiederherstellung der Unzerschnittenheit und funktionalen Zusammengehörigkeit des Lebensraumgefüges des Naturschutzgebietes, insbesondere unter dem Aspekt eines ausreichenden Angebotes an Naturverjüngung sowie stehendem und liegendem Totholz;</w:t>
      </w:r>
    </w:p>
    <w:p>
      <w:r>
        <w:t xml:space="preserve">7. die Erhaltung des Gebietes als Genressource des autochthonen Vorkommens der Carlsfelder Hochlagenfichte.</w:t>
      </w:r>
    </w:p>
    <w:p>
      <w:r>
        <w:t xml:space="preserve">(2) Die Schutzzwecke nach Absatz 1 Nr. 1 bis 3 tragen den durch das Staatsministerium für Umwelt und Landwirtschaft für das unter § 2 Abs. 6 erwähnte FFH-Gebiet aufgestellten Erhaltungszielen Rechnung und sollen damit die Sicherung eines bedeutenden Teils dieses Schutzgebietes als Bestandteil des Europäischen Schutzgebietssystems NATURA 2000 bewirken.</w:t>
      </w:r>
    </w:p>
    <w:p>
      <w:r>
        <w:t xml:space="preserve">(3) Die Bestimmungen der Verordnung des Regierungspräsidiums Chemnitz zur Bestimmung des Europäischen Vogelschutzgebietes „Westerzgebirge“ vom 2. November 2006 bleiben unberührt.</w:t>
      </w:r>
    </w:p>
    <w:p>
      <w:r>
        <w:rPr>
          <w:color w:val="555555"/>
          <w:sz w:val="17"/>
        </w:rPr>
        <w:t xml:space="preserve">Zitiervorschlag: § 3 SN-10077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https://recht.nulegal.eu/gesetze/SN-10077/3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