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SMWKFördZuVO (Sachsen)</w:t>
      </w:r>
    </w:p>
    <w:p>
      <w:r>
        <w:rPr>
          <w:color w:val="555555"/>
          <w:sz w:val="18"/>
        </w:rPr>
        <w:t xml:space="preserve">Förderzuständigkeitsverordnung SMWK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1. § 2 Abs. 4 des Gesetzes zur Errichtung der Sächsischen Aufbaubank – Förderbank – ( FördbankG ) vom 19. Juni 2003 (SächsGVBl. S. 161) und</w:t>
      </w:r>
    </w:p>
    <w:p>
      <w:r>
        <w:t xml:space="preserve">2. § 16 Abs. 1 Satz 2 Nr. 2 des Gesetzes über die Verwaltungsorganisation des Freistaates Sachsen (Sächsisches Verwaltungsorganisationsgesetz – SächsVwOrgG ) vom 25. November 2003 (SächsGVBl. S. 899), das zuletzt durch Artikel 2 des Gesetzes vom 9. September 2005 (SächsGVBl. S. 257, 258) geändert worden ist, mit Zustimmung der Staatsregierung:</w:t>
      </w:r>
    </w:p>
    <w:p>
      <w:r>
        <w:rPr>
          <w:color w:val="555555"/>
          <w:sz w:val="17"/>
        </w:rPr>
        <w:t xml:space="preserve">Zitiervorschlag: Eingangsformel SMWKFördZuVO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https://recht.nulegal.eu/gesetze/SMWKF%C3%B6rdZuVO/eingangsformel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SMWKFördZuVO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