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SMWAFördZuVO (Sachsen) — Inkrafttreten, Außerkrafttreten</w:t>
      </w:r>
    </w:p>
    <w:p>
      <w:r>
        <w:rPr>
          <w:color w:val="555555"/>
          <w:sz w:val="18"/>
        </w:rPr>
        <w:t xml:space="preserve">Förderzuständigkeitsverordnung SMWA</w:t>
      </w:r>
    </w:p>
    <w:p>
      <w:r>
        <w:rPr>
          <w:color w:val="555555"/>
          <w:sz w:val="18"/>
        </w:rPr>
        <w:t xml:space="preserve">Landesrecht Sachsen</w:t>
      </w:r>
    </w:p>
    <w:p>
      <w:r>
        <w:rPr>
          <w:color w:val="555555"/>
          <w:sz w:val="18"/>
        </w:rPr>
        <w:t xml:space="preserve">Stand: 26.08.2026 (konsolidierte Textfassung, kein amtliches Inkrafttretensdatum)</w:t>
      </w:r>
    </w:p>
    <w:p>
      <w:r>
        <w:t xml:space="preserve">Diese Verordnung tritt am Tag nach der Verkündung in Kraft. Gleichzeitig tritt die Förderzuständigkeitsverordnung SMWA vom 20. Dezember 2005 (SächsGVBl. S. 378), die zuletzt durch die Verordnung vom 12. Dezember 2017 (SächsGVBl. S. 667) geändert worden ist, außer Kraft.</w:t>
      </w:r>
    </w:p>
    <w:p>
      <w:r>
        <w:t xml:space="preserve">Dresden, den 21. Juni 2018</w:t>
      </w:r>
    </w:p>
    <w:p>
      <w:r>
        <w:t xml:space="preserve">Der Staatsminister für Wirtschaft, Arbeit und Verkehr</w:t>
      </w:r>
    </w:p>
    <w:p>
      <w:r>
        <w:t xml:space="preserve">Martin Dulig</w:t>
      </w:r>
    </w:p>
    <w:p>
      <w:r>
        <w:rPr>
          <w:color w:val="555555"/>
          <w:sz w:val="17"/>
        </w:rPr>
        <w:t xml:space="preserve">Zitiervorschlag: § 2 SMWAFördZuVO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https://recht.nulegal.eu/gesetze/SMWAF%C3%B6rdZuVO/2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