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SMVergV</w:t>
      </w:r>
    </w:p>
    <w:p>
      <w:r>
        <w:rPr>
          <w:color w:val="555555"/>
          <w:sz w:val="18"/>
        </w:rPr>
        <w:t xml:space="preserve">Soldatenmehrarbeitsvergütungsverordnung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50 des Bundesbesoldungsgesetzes, der durch Artikel 2 Nummer 3 des Gesetzes vom 13. Mai 2015 (BGBl. I S. 706) eingefügt worden ist, verordnet das Bundesministerium des Innern im Einvernehmen mit dem Bundesministerium der Verteidigung und dem Bundesministerium der Finanzen:</w:t>
      </w:r>
    </w:p>
    <w:p>
      <w:r>
        <w:rPr>
          <w:color w:val="555555"/>
          <w:sz w:val="17"/>
        </w:rPr>
        <w:t xml:space="preserve">Zitiervorschlag: Eingangsformel SMVergV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https://recht.nulegal.eu/gesetze/SMVergV/eingangsformel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