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SMVergV — Ausschluss des Anspruchs</w:t>
      </w:r>
    </w:p>
    <w:p>
      <w:r>
        <w:rPr>
          <w:color w:val="555555"/>
          <w:sz w:val="18"/>
        </w:rPr>
        <w:t xml:space="preserve">Soldatenmehrarbeitsvergütungsverordnung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Vergütung wird nicht gewährt neben</w:t>
      </w:r>
    </w:p>
    <w:p>
      <w:pPr>
        <w:ind w:left="420"/>
      </w:pPr>
      <w:r>
        <w:t xml:space="preserve">1. einer Vergütung nach § 50a des Bundesbesoldungsgesetzes,</w:t>
      </w:r>
    </w:p>
    <w:p>
      <w:pPr>
        <w:ind w:left="420"/>
      </w:pPr>
      <w:r>
        <w:t xml:space="preserve">2. Auslandsbesoldung nach Abschnitt 5 des Bundesbesoldungsgesetzes,</w:t>
      </w:r>
    </w:p>
    <w:p>
      <w:pPr>
        <w:ind w:left="420"/>
      </w:pPr>
      <w:r>
        <w:t xml:space="preserve">3. einer Vergütung nach der Sanitätsdienstvergütungsverordnung.</w:t>
      </w:r>
    </w:p>
    <w:p>
      <w:r>
        <w:t xml:space="preserve">(2) Abweichend von Absatz 1 Nummer 2 kann eine Mehrarbeitsvergütung neben Auslandsdienstbezügen nach § 52 des Bundesbesoldungsgesetzes für soldatische Tätigkeiten in den Streitkräften gewährt werden, wenn eine Dienstbefreiung aus den folgenden Gründen nicht möglich ist:</w:t>
      </w:r>
    </w:p>
    <w:p>
      <w:pPr>
        <w:ind w:left="420"/>
      </w:pPr>
      <w:r>
        <w:t xml:space="preserve">1. Sicherstellung der militärischen Einsatzbereitschaft im Rahmen der Landes- und Bündnisverteidigung,</w:t>
      </w:r>
    </w:p>
    <w:p>
      <w:pPr>
        <w:ind w:left="420"/>
      </w:pPr>
      <w:r>
        <w:t xml:space="preserve">2. Teilnahme an angeordnetem Dienst außerhalb des Grundbetriebs nach § 30c Absatz 4 des Soldatengesetzes oder</w:t>
      </w:r>
    </w:p>
    <w:p>
      <w:pPr>
        <w:ind w:left="420"/>
      </w:pPr>
      <w:r>
        <w:t xml:space="preserve">3. dienstlich notwendige Teilnahme an militärfachlichen und laufbahnspezifischen Ausbildungen.</w:t>
      </w:r>
    </w:p>
    <w:p>
      <w:r>
        <w:rPr>
          <w:color w:val="555555"/>
          <w:sz w:val="17"/>
        </w:rPr>
        <w:t xml:space="preserve">Zitiervorschlag: § 5 SMVergV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https://recht.nulegal.eu/gesetze/SMVergV/5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