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SMVergV — Höhe des Anspruchs bei Teilzeitbeschäftigung</w:t>
      </w:r>
    </w:p>
    <w:p>
      <w:r>
        <w:rPr>
          <w:color w:val="555555"/>
          <w:sz w:val="18"/>
        </w:rPr>
        <w:t xml:space="preserve">Soldatenmehrarbeitsvergütungsverordnung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Teilzeitbeschäftigte erhalten je Stunde Mehrarbeit bis zum Erreichen der regelmäßigen Arbeitszeit von Vollzeitbeschäftigten eine Vergütung in Höhe des auf eine Stunde entfallenden Anteils der Besoldung entsprechender Vollzeitbeschäftigter.</w:t>
      </w:r>
    </w:p>
    <w:p>
      <w:r>
        <w:t xml:space="preserve">(2) Zur Ermittlung der auf eine Stunde entfallenden anteiligen Besoldung sind die monatlichen Bezüge entsprechender Vollzeitbeschäftigter durch das 4,348-Fache ihrer regelmäßigen wöchentlichen Arbeitszeit zu teilen. Bezüge, die nicht der anteiligen Kürzung nach § 6 Absatz 1 des Bundesbesoldungsgesetzes unterliegen, bleiben unberücksichtigt.</w:t>
      </w:r>
    </w:p>
    <w:p>
      <w:r>
        <w:t xml:space="preserve">(3) Mehrarbeit, die über die regelmäßige Arbeitszeit von Vollzeitbeschäftigten hinausgeht, wird nach § 3 vergütet.</w:t>
      </w:r>
    </w:p>
    <w:p>
      <w:r>
        <w:rPr>
          <w:color w:val="555555"/>
          <w:sz w:val="17"/>
        </w:rPr>
        <w:t xml:space="preserve">Zitiervorschlag: § 4 SMVergV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https://recht.nulegal.eu/gesetze/SMVergV/4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