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SMVergV — Ermittlung des Anspruchs</w:t>
      </w:r>
    </w:p>
    <w:p>
      <w:r>
        <w:rPr>
          <w:color w:val="555555"/>
          <w:sz w:val="18"/>
        </w:rPr>
        <w:t xml:space="preserve">Soldatenmehrarbeitsvergütungsverordnung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eine Stunde Mehrarbeit gilt die volle Zeitstunde. Bei einem Bruchteil von mindestens 30 Minuten wird aufgerundet, ansonsten abgerundet.</w:t>
      </w:r>
    </w:p>
    <w:p>
      <w:r>
        <w:t xml:space="preserve">(2) Bei Dienst in Bereitschaft wird eine Stunde Mehrarbeit nur entsprechend der erfahrungsgemäß bei der betreffenden Tätigkeit durchschnittlich anfallenden Inanspruchnahme berücksichtigt; dabei ist schon die Ableistung eines Dienstes in Bereitschaft als solche angemessen anzurechnen.</w:t>
      </w:r>
    </w:p>
    <w:p>
      <w:r>
        <w:rPr>
          <w:color w:val="555555"/>
          <w:sz w:val="17"/>
        </w:rPr>
        <w:t xml:space="preserve">Zitiervorschlag: § 2 SMVergV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https://recht.nulegal.eu/gesetze/SMVergV/2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