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SMRFördZuVO (Sachsen)</w:t>
      </w:r>
    </w:p>
    <w:p>
      <w:r>
        <w:rPr>
          <w:color w:val="555555"/>
          <w:sz w:val="18"/>
        </w:rPr>
        <w:t xml:space="preserve">SMR-Förderzuständigkeitsverordnung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23. Juli 2024</w:t>
      </w:r>
    </w:p>
    <w:p>
      <w:r>
        <w:rPr>
          <w:color w:val="555555"/>
          <w:sz w:val="17"/>
        </w:rPr>
        <w:t xml:space="preserve">Zitiervorschlag: Eingangsformel SMRFördZuVO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https://recht.nulegal.eu/gesetze/SMRF%C3%B6rdZuVO/eingangsformel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