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SMRFördZuVO (Sachsen) — Zuständigkeit des Landesamtes für Denkmalpflege</w:t>
      </w:r>
    </w:p>
    <w:p>
      <w:r>
        <w:rPr>
          <w:color w:val="555555"/>
          <w:sz w:val="18"/>
        </w:rPr>
        <w:t xml:space="preserve">SMR-Förderzuständigkeitsverordnung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Landesamt für Denkmalpflege ist zuständig für die Durchführung der Förderung von</w:t>
      </w:r>
    </w:p>
    <w:p>
      <w:r>
        <w:t xml:space="preserve">1. Maßnahmen zur Sicherung, Erhaltung, Pflege und Nutzbarmachung von Kulturdenkmalen,</w:t>
      </w:r>
    </w:p>
    <w:p>
      <w:r>
        <w:t xml:space="preserve">a)</w:t>
      </w:r>
    </w:p>
    <w:p>
      <w:r>
        <w:t xml:space="preserve">bei deren überörtlicher Bedeutung,</w:t>
      </w:r>
    </w:p>
    <w:p>
      <w:r>
        <w:t xml:space="preserve">b)</w:t>
      </w:r>
    </w:p>
    <w:p>
      <w:r>
        <w:t xml:space="preserve">soweit die Maßnahmen aus Mitteln des Bundes finanziert werden und die jeweiligen Fördergrundsätze des Bundes nichts anderes vorsehen, einschließlich der Bewirtschaftung von Bundesmitteln,</w:t>
      </w:r>
    </w:p>
    <w:p>
      <w:r>
        <w:t xml:space="preserve">2. Maßnahmen aufgrund von Verfügungen nach § 11 Absatz 1 des Sächsischen Denkmalschutzgesetzes , soweit diese von der zuständigen Denkmalschutzbehörde im Wege der Ersatzvornahme vollzogen werden,</w:t>
      </w:r>
    </w:p>
    <w:p>
      <w:r>
        <w:t xml:space="preserve">3. Programmen oder Maßnahmen der Aus-, Fort- und Weiterbildung sowie der Öffentlichkeitsarbeit und Beratung zu Denkmalpflege und Denkmalschutz.</w:t>
      </w:r>
    </w:p>
    <w:p>
      <w:r>
        <w:rPr>
          <w:color w:val="555555"/>
          <w:sz w:val="17"/>
        </w:rPr>
        <w:t xml:space="preserve">Zitiervorschlag: § 3 SMRFördZuVO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https://recht.nulegal.eu/gesetze/SMRF%C3%B6rdZuVO/3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