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SLV 2021 — Ausnahmen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Der Bundespersonalausschuss kann auf Antrag des Bundesministeriums der Verteidigung für einzelne Fälle oder für Gruppen von Fällen Ausnahmen von Vorschriften dieser Verordnung zulassen; dies betrifft:</w:t>
      </w:r>
    </w:p>
    <w:p>
      <w:pPr>
        <w:ind w:left="420"/>
      </w:pPr>
      <w:r>
        <w:t xml:space="preserve">1. die Mindestdienstzeiten für die Beförderung und</w:t>
      </w:r>
    </w:p>
    <w:p>
      <w:pPr>
        <w:ind w:left="420"/>
      </w:pPr>
      <w:r>
        <w:t xml:space="preserve">2. das Überspringen von Dienstgraden bei der Einstellung oder Beförderung.</w:t>
      </w:r>
    </w:p>
    <w:p>
      <w:r>
        <w:t xml:space="preserve">(2) Für die in § 1 Absatz 1 Nummer 2 bis 6 genannten Soldatinnen und Soldaten entscheidet das Bundesministerium der Verteidigung über Ausnahmen nach Absatz 1.</w:t>
      </w:r>
    </w:p>
    <w:p>
      <w:r>
        <w:rPr>
          <w:color w:val="555555"/>
          <w:sz w:val="17"/>
        </w:rPr>
        <w:t xml:space="preserve">Zitiervorschlag: § 50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