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SLV 2021 — Beförderung der Militärmusikoffizierinnen und Militärmusikoffiziere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Beförderungen sind nach folgenden Dienstzeiten seit Ernennung zum Hauptmann zulässig:</w:t>
      </w:r>
    </w:p>
    <w:p>
      <w:pPr>
        <w:ind w:left="420"/>
      </w:pPr>
      <w:r>
        <w:t xml:space="preserve">1. zum Major nach drei Jahren und</w:t>
      </w:r>
    </w:p>
    <w:p>
      <w:pPr>
        <w:ind w:left="420"/>
      </w:pPr>
      <w:r>
        <w:t xml:space="preserve">2. zum Oberst nach 13 Jahren.</w:t>
      </w:r>
    </w:p>
    <w:p>
      <w:r>
        <w:rPr>
          <w:color w:val="555555"/>
          <w:sz w:val="17"/>
        </w:rPr>
        <w:t xml:space="preserve">Zitiervorschlag: § 36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