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33 SLV 2021 — Einstellung als Militärmusikoffizieranwärterin oder Militärmusikoffizieranwärter</w:t>
      </w:r>
    </w:p>
    <w:p>
      <w:r>
        <w:rPr>
          <w:color w:val="555555"/>
          <w:sz w:val="18"/>
        </w:rPr>
        <w:t xml:space="preserve">Soldatenlaufbahnverordnung</w:t>
      </w:r>
    </w:p>
    <w:p>
      <w:r>
        <w:rPr>
          <w:color w:val="555555"/>
          <w:sz w:val="18"/>
        </w:rPr>
        <w:t xml:space="preserve">Stand: 05.06.2021 (konsolidierte Textfassung, kein amtliches Inkrafttretensdatum)</w:t>
      </w:r>
    </w:p>
    <w:p>
      <w:r>
        <w:t xml:space="preserve">(1) Als Anwärterin oder Anwärter für die Laufbahn der Offizierinnen und Offiziere des Militärmusikdienstes (Militärmusikoffizieranwärterin oder Militärmusikoffizieranwärter) kann eingestellt werden, wer</w:t>
      </w:r>
    </w:p>
    <w:p>
      <w:pPr>
        <w:ind w:left="420"/>
      </w:pPr>
      <w:r>
        <w:t xml:space="preserve">1. die allgemeine Hochschulreife, die fachgebundene Hochschulreife, die Fachhochschulreife oder einen als gleichwertig anerkannten Bildungsstand besitzt,</w:t>
      </w:r>
    </w:p>
    <w:p>
      <w:pPr>
        <w:ind w:left="420"/>
      </w:pPr>
      <w:r>
        <w:t xml:space="preserve">2. die Aufnahmeprüfung an einer Hochschule für Musik bestanden hat und</w:t>
      </w:r>
    </w:p>
    <w:p>
      <w:pPr>
        <w:ind w:left="420"/>
      </w:pPr>
      <w:r>
        <w:t xml:space="preserve">3. sich für mindestens 15 Jahre zu einem Wehrdienst verpflichtet.</w:t>
      </w:r>
    </w:p>
    <w:p>
      <w:r>
        <w:t xml:space="preserve">(2) Die Einstellung erfolgt als Soldatin auf Zeit oder Soldat auf Zeit.</w:t>
      </w:r>
    </w:p>
    <w:p>
      <w:r>
        <w:t xml:space="preserve">(3) Die Anwärterinnen und Anwärter führen im Schriftverkehr ihre Dienstgradbezeichnung mit dem Zusatz „(Militärmusikoffizieranwärterin)“ oder „(Militärmusikoffizieranwärter)“ oder „(MilMusikOA)“.</w:t>
      </w:r>
    </w:p>
    <w:p>
      <w:r>
        <w:rPr>
          <w:color w:val="555555"/>
          <w:sz w:val="17"/>
        </w:rPr>
        <w:t xml:space="preserve">Zitiervorschlag: § 33 SLV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https://recht.nulegal.eu/gesetze/SLV%202021/33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