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SLV 2021 — Beförderung der Sanitätsoffizierinnen und Sanitätsoffiziere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Beförderungen sind nach folgenden Dienstzeiten seit der Ernennung zum Stabsarzt, Stabsveterinär oder Stabsapotheker zulässig:</w:t>
      </w:r>
    </w:p>
    <w:p>
      <w:pPr>
        <w:ind w:left="420"/>
      </w:pPr>
      <w:r>
        <w:t xml:space="preserve">1. zum Oberstabsarzt, Oberstabsveterinär oder Oberstabsapotheker nach zwei Jahren und</w:t>
      </w:r>
    </w:p>
    <w:p>
      <w:pPr>
        <w:ind w:left="420"/>
      </w:pPr>
      <w:r>
        <w:t xml:space="preserve">2. zum Oberstarzt, Oberstveterinär oder Oberstapotheker nach zehn Jahren.</w:t>
      </w:r>
    </w:p>
    <w:p>
      <w:r>
        <w:t xml:space="preserve">(2) Abweichend von § 7 Absatz 2 kann zum Oberfeldarzt, Oberfeldveterinär oder Oberfeldapotheker befördert werden, wer die in § 30 Absatz 4 genannte Anerkennung besitzt.</w:t>
      </w:r>
    </w:p>
    <w:p>
      <w:r>
        <w:rPr>
          <w:color w:val="555555"/>
          <w:sz w:val="17"/>
        </w:rPr>
        <w:t xml:space="preserve">Zitiervorschlag: § 31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