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SLV 2021 — Beförderung der Feldwebelanwärterinnen und Feldwebelanwärter</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Die Beförderung der Feldwebelanwärterinnen und Feldwebelanwärter ist zu folgenden Dienstgraden und nach folgenden Dienstzeiten zulässig:</w:t>
      </w:r>
    </w:p>
    <w:p>
      <w:pPr>
        <w:ind w:left="420"/>
      </w:pPr>
      <w:r>
        <w:t xml:space="preserve">1. zum Gefreiten nach drei Monaten,</w:t>
      </w:r>
    </w:p>
    <w:p>
      <w:pPr>
        <w:ind w:left="420"/>
      </w:pPr>
      <w:r>
        <w:t xml:space="preserve">2. zum Obergefreiten nach sechs Monaten,</w:t>
      </w:r>
    </w:p>
    <w:p>
      <w:pPr>
        <w:ind w:left="420"/>
      </w:pPr>
      <w:r>
        <w:t xml:space="preserve">3. zum Unteroffizier nach zwölf Monaten,</w:t>
      </w:r>
    </w:p>
    <w:p>
      <w:pPr>
        <w:ind w:left="420"/>
      </w:pPr>
      <w:r>
        <w:t xml:space="preserve">4. zum Stabsunteroffizier nach 24 Monaten und</w:t>
      </w:r>
    </w:p>
    <w:p>
      <w:pPr>
        <w:ind w:left="420"/>
      </w:pPr>
      <w:r>
        <w:t xml:space="preserve">5. zum Feldwebel nach 36 Monaten.</w:t>
      </w:r>
    </w:p>
    <w:p>
      <w:r>
        <w:t xml:space="preserve">Die Mannschaftsdienstgrade ab dem Dienstgrad „Obergefreiter“ müssen nicht durchlaufen werden.</w:t>
      </w:r>
    </w:p>
    <w:p>
      <w:r>
        <w:t xml:space="preserve">(2) Feldwebelanwärterinnen und Feldwebelanwärter erhalten eine allgemeinmilitärische Laufbahnausbildung und eine mehrmonatige militärfachliche Laufbahnausbildung in Form von Lehrgängen. Sie dürfen zum Feldwebel befördert werden, wenn sie eine Unteroffizierprüfung bestanden haben, die sich aus einem allgemeinmilitärischen und einem militärfachlichen Teil zusammensetzt (Feldwebelprüfung). Der militärfachliche Teil der Feldwebelprüfung kann durch einen verwertbaren berufsqualifizierenden Ausbildungsabschluss ersetzt werden. Im Falle des Nichtbestehens eines Teils der Feldwebelprüfung kann dieser Teil einmal wiederholt werden.</w:t>
      </w:r>
    </w:p>
    <w:p>
      <w:r>
        <w:rPr>
          <w:color w:val="555555"/>
          <w:sz w:val="17"/>
        </w:rPr>
        <w:t xml:space="preserve">Zitiervorschlag: § 18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