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SLV 2021 — Aufstieg in eine Laufbahn der Fachunteroffizierinnen und Fachunteroffiziere</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Mannschaften aller Laufbahnen können in eine Laufbahn der Fachunteroffizierinnen und Fachunteroffiziere aufsteigen, wenn sie mindestens den Dienstgrad „Gefreiter“ erreicht haben und den Hauptschulabschluss oder einen als gleichwertig anerkannten Bildungsstand besitzen. § 6 Absatz 1 gilt entsprechend.</w:t>
      </w:r>
    </w:p>
    <w:p>
      <w:r>
        <w:t xml:space="preserve">(2) Nach dem Aufstieg führen sie im Schriftverkehr bis zu ihrer Beförderung zum Unteroffizier ihre Dienstgradbezeichnung mit dem Zusatz „(Unteroffizieranwärterin)“, „(Unteroffizieranwärter)“ oder „(UA)“.</w:t>
      </w:r>
    </w:p>
    <w:p>
      <w:r>
        <w:t xml:space="preserve">(3) § 14 gilt entsprechend.</w:t>
      </w:r>
    </w:p>
    <w:p>
      <w:r>
        <w:t xml:space="preserve">(4) Unbeschadet der Absätze 1 bis 3 können Mannschaften aller Laufbahnen, die einen Hauptschulabschluss oder einen als gleichwertig anerkannten Bildungsstand besitzen, nach einer Dienstzeit von mindestens drei Jahren in die Laufbahn der Fachunteroffizierinnen und Fachunteroffiziere des allgemeinen Fachdienstes aufsteigen, wenn sie eine fachspezifische Qualifizierung abgeschlossen haben (Praxisaufstieg). Der Praxisaufstieg dauert sechs Monate. Er besteht aus</w:t>
      </w:r>
    </w:p>
    <w:p>
      <w:pPr>
        <w:ind w:left="420"/>
      </w:pPr>
      <w:r>
        <w:t xml:space="preserve">1. einer dreimonatigen fachtheoretischen Ausbildung und</w:t>
      </w:r>
    </w:p>
    <w:p>
      <w:pPr>
        <w:ind w:left="420"/>
      </w:pPr>
      <w:r>
        <w:t xml:space="preserve">2. einer dreimonatigen berufspraktischen Einführung.</w:t>
      </w:r>
    </w:p>
    <w:p>
      <w:r>
        <w:t xml:space="preserve">Die fachtheoretische Ausbildung schließt mit einer Prüfung und die berufspraktische Einführung mit einer Bewertung ab. Der erfolgreiche Abschluss des Praxisaufstiegs ist festzustellen. § 14 Absatz 2 Satz 4 gilt entsprechend mit der Maßgabe, dass auch die berufspraktische Einführung einmal wiederholt werden kann.</w:t>
      </w:r>
    </w:p>
    <w:p>
      <w:r>
        <w:rPr>
          <w:color w:val="555555"/>
          <w:sz w:val="17"/>
        </w:rPr>
        <w:t xml:space="preserve">Zitiervorschlag: § 16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