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SLV 2021 — Beförderung der Mannschaften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Stand: 24.12.2021 (konsolidierte Textfassung, kein amtliches Inkrafttretensdatum)</w:t>
      </w:r>
    </w:p>
    <w:p>
      <w:r>
        <w:t xml:space="preserve">Die Beförderung der Mannschaften ist nach folgenden Dienstzeiten zulässig:</w:t>
      </w:r>
    </w:p>
    <w:p>
      <w:pPr>
        <w:ind w:left="420"/>
      </w:pPr>
      <w:r>
        <w:t xml:space="preserve">1. zum Gefreiten nach drei Monaten,</w:t>
      </w:r>
    </w:p>
    <w:p>
      <w:pPr>
        <w:ind w:left="420"/>
      </w:pPr>
      <w:r>
        <w:t xml:space="preserve">2. zum Obergefreiten nach sechs Monaten,</w:t>
      </w:r>
    </w:p>
    <w:p>
      <w:pPr>
        <w:ind w:left="420"/>
      </w:pPr>
      <w:r>
        <w:t xml:space="preserve">3. zum Hauptgefreiten nach zwölf Monaten,</w:t>
      </w:r>
    </w:p>
    <w:p>
      <w:pPr>
        <w:ind w:left="420"/>
      </w:pPr>
      <w:r>
        <w:t xml:space="preserve">4. zum Stabsgefreiten nach 36 Monaten,</w:t>
      </w:r>
    </w:p>
    <w:p>
      <w:pPr>
        <w:ind w:left="420"/>
      </w:pPr>
      <w:r>
        <w:t xml:space="preserve">5. zum Oberstabsgefreiten nach 48 Monaten,</w:t>
      </w:r>
    </w:p>
    <w:p>
      <w:pPr>
        <w:ind w:left="420"/>
      </w:pPr>
      <w:r>
        <w:t xml:space="preserve">6. zum Korporal nach sieben Jahren und</w:t>
      </w:r>
    </w:p>
    <w:p>
      <w:pPr>
        <w:ind w:left="420"/>
      </w:pPr>
      <w:r>
        <w:t xml:space="preserve">7. zum Stabskorporal nach zehn Jahren.</w:t>
      </w:r>
    </w:p>
    <w:p>
      <w:r>
        <w:rPr>
          <w:color w:val="555555"/>
          <w:sz w:val="17"/>
        </w:rPr>
        <w:t xml:space="preserve">Zitiervorschlag: § 11 SLV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https://recht.nulegal.eu/gesetze/SLV%202021/11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