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SLV 2002 — Übergangsvorschriften</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Frühere Soldatinnen und frühere Soldaten, deren Laufbahnen weggefallen sind, sind bei erneuter Einstellung einer Laufbahn zuzuordnen, die ihrer Eignung, Befähigung und Leistung entspricht. Ihre Zustimmung zum Laufbahnwechsel ist nicht erforderlich.</w:t>
      </w:r>
    </w:p>
    <w:p>
      <w:r>
        <w:t xml:space="preserve">(2) Für vor dem 1. Juli 2011 nach § 38 Absatz 1 in der bis zu diesem Tag geltenden Fassung eingestellte Offiziere in der Laufbahn der Offiziere des Geoinformationsdienstes der Bundeswehr gilt für die Beförderung zum Major § 5a Absatz 1. Dies gilt auch für Studierende, die sich vor dem 1. Juli 2011 zu einem späteren Dienst als Offizier in der Laufbahn der Offiziere des Geoinformationsdienstes der Bundeswehr verpflichtet haben und deshalb eine Studienbeihilfe von der Bundeswehr erhalten.</w:t>
      </w:r>
    </w:p>
    <w:p>
      <w:r>
        <w:rPr>
          <w:color w:val="555555"/>
          <w:sz w:val="17"/>
        </w:rPr>
        <w:t xml:space="preserve">Zitiervorschlag: § 48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