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SLV 2002 — Beförderung der Sanitätsoffiziere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Beförderungen sind nach folgenden Dienstzeiten seit Ernennung zum Stabsarzt, Stabsveterinär oder Stabsapotheker zulässig:</w:t>
      </w:r>
    </w:p>
    <w:p>
      <w:pPr>
        <w:ind w:left="420"/>
      </w:pPr>
      <w:r>
        <w:t xml:space="preserve">1. zum Oberstabsarzt, Oberstabsveterinär oder Oberstabsapotheker nach zwei Jahren und</w:t>
      </w:r>
    </w:p>
    <w:p>
      <w:pPr>
        <w:ind w:left="420"/>
      </w:pPr>
      <w:r>
        <w:t xml:space="preserve">2. zum Oberstarzt, Oberstveterinär oder Oberstapotheker nach zehn Jahren.</w:t>
      </w:r>
    </w:p>
    <w:p>
      <w:r>
        <w:rPr>
          <w:color w:val="555555"/>
          <w:sz w:val="17"/>
        </w:rPr>
        <w:t xml:space="preserve">Zitiervorschlag: § 33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