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SLV 2002 — Ordnung der Laufbahnen</w:t>
      </w:r>
    </w:p>
    <w:p>
      <w:r>
        <w:rPr>
          <w:color w:val="555555"/>
          <w:sz w:val="18"/>
        </w:rPr>
        <w:t xml:space="preserve">Soldatenlaufbahnverordnung</w:t>
      </w:r>
    </w:p>
    <w:p>
      <w:r>
        <w:rPr>
          <w:color w:val="555555"/>
          <w:sz w:val="18"/>
        </w:rPr>
        <w:t xml:space="preserve">Historische Fassung: Stand 10.06.2019 bis 05.06.2021. Dies ist nicht die aktuelle Fassung.</w:t>
      </w:r>
    </w:p>
    <w:p>
      <w:r>
        <w:t xml:space="preserve">Die Laufbahnen der Soldatinnen und Soldaten sind den Laufbahngruppen der Mannschaften, der Unteroffiziere und der Offiziere zugeordnet. Die Einzelheiten ergeben sich aus der Anlage zu dieser Verordnung. § 1 Satz 2 ist insoweit nicht anzuwenden.</w:t>
      </w:r>
    </w:p>
    <w:p>
      <w:r>
        <w:rPr>
          <w:color w:val="555555"/>
          <w:sz w:val="17"/>
        </w:rPr>
        <w:t xml:space="preserve">Zitiervorschlag: § 3 SLV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https://recht.nulegal.eu/gesetze/SLV%202002/3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