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SLV 2002 — Aufstieg in die Laufbahn der Offiziere des Truppendienstes</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Unteroffiziere aller Laufbahnen können zur Laufbahn der Offiziere des Truppendienstes zugelassen werden, wenn sie sich in einem Feldwebeldienstgrad befinden und an einem Auswahllehrgang erfolgreich teilgenommen haben.</w:t>
      </w:r>
    </w:p>
    <w:p>
      <w:r>
        <w:t xml:space="preserve">(2) Nach der Zulassung führen Feldwebel den Dienstgrad Fähnrich und Hauptfeldwebel den Dienstgrad Oberfähnrich. Ihre Dienstgradbezeichnung mit dem Zusatz „(Offizieranwärterin)“, „(Offizieranwärter)“ oder „(OA)“ führen im Schriftverkehr</w:t>
      </w:r>
    </w:p>
    <w:p>
      <w:pPr>
        <w:ind w:left="420"/>
      </w:pPr>
      <w:r>
        <w:t xml:space="preserve">1. Oberfeldwebel bis zu ihrer Beförderung zum Oberfähnrich,</w:t>
      </w:r>
    </w:p>
    <w:p>
      <w:pPr>
        <w:ind w:left="420"/>
      </w:pPr>
      <w:r>
        <w:t xml:space="preserve">2. Stabsfeldwebel und Oberstabsfeldwebel bis zu ihrer Beförderung zum Offizier.</w:t>
      </w:r>
    </w:p>
    <w:p>
      <w:r>
        <w:t xml:space="preserve">(3) § 24 gilt entsprechend mit der Maßgabe, dass auf die Ausbildungs- und Beförderungszeit je nach dem erreichten Dienstgrad bis zu zwei Jahre der bisherigen Dienstzeit als Soldatin oder Soldat angerechnet werden können. Nach erfolgreicher Beendigung der Ausbildung zum Offizier werden Stabsfeldwebel und Oberstabsfeldwebel zu Leutnanten ernannt.</w:t>
      </w:r>
    </w:p>
    <w:p>
      <w:r>
        <w:rPr>
          <w:color w:val="555555"/>
          <w:sz w:val="17"/>
        </w:rPr>
        <w:t xml:space="preserve">Zitiervorschlag: § 29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