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SLV 2002 — Beförderung, Zulassung zu einer Laufbahn der Reserve und Berufung in das Dienstverhältnis einer Berufssoldatin oder eines Berufssoldaten</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Die in § 1 Satz 1 Nummer 2 genannten Soldatinnen und Soldaten werden nach den Vorschriften über die Beförderung von Soldatinnen und Soldaten im Dienstverhältnis einer Soldatin auf Zeit oder eines Soldaten auf Zeit befördert.</w:t>
      </w:r>
    </w:p>
    <w:p>
      <w:r>
        <w:t xml:space="preserve">(2) Die in § 1 Satz 1 Nummer 2 bis 7 genannten Soldatinnen und Soldaten können zugelassen werden</w:t>
      </w:r>
    </w:p>
    <w:p>
      <w:pPr>
        <w:ind w:left="420"/>
      </w:pPr>
      <w:r>
        <w:t xml:space="preserve">1. zu einer Laufbahn der Fachunteroffiziere der Reserve, wenn sie die Voraussetzungen des § 14 Absatz 1 erfüllen,</w:t>
      </w:r>
    </w:p>
    <w:p>
      <w:pPr>
        <w:ind w:left="420"/>
      </w:pPr>
      <w:r>
        <w:t xml:space="preserve">2. zu einer Laufbahn der Feldwebel der Reserve, wenn sie die Voraussetzungen des § 19 Absatz 1 erfüllen.</w:t>
      </w:r>
    </w:p>
    <w:p>
      <w:r>
        <w:t xml:space="preserve">Nach der Zulassung zu einer Laufbahn der Fachunteroffiziere der Reserve führen sie im Schriftverkehr bis zu ihrer Beförderung zum Unteroffizier ihre Dienstgradbezeichnung mit dem Zusatz „(Reserveunteroffizier-Anwärterin)“, „(Reserveunteroffizier-Anwärter)“ oder „(RUA)“; nach der Zulassung zu einer Laufbahn der Feldwebel der Reserve führen sie im Schriftverkehr bis zu ihrer Beförderung zum Feldwebel ihre Dienstgradbezeichnung mit dem Zusatz „(Reservefeldwebel-Anwärterin)“, „(Reservefeldwebel-Anwärter)“ oder „(RFA)“. In den Laufbahnen der Fachunteroffiziere der Reserve ist vor der Beförderung zum Unteroffizier der Reserve eine Fachunteroffizierprüfung, in den Laufbahnen der Feldwebel der Reserve vor der Beförderung zum Feldwebel der Reserve eine Feldwebelprüfung mit Erfolg abzulegen. Weitere Beförderungen sind erst nach Ablauf einer Zeit zulässig, die für Soldatinnen und Soldaten im Dienstverhältnis einer Berufssoldatin, eines Berufssoldaten, einer Soldatin auf Zeit oder eines Soldaten auf Zeit als Dienstzeit für die Beförderung nach dieser Verordnung mindestens vorausgesetzt wird. Außerdem ist vor jeder Beförderung ein Wehrdienst von mindestens zwölf Tagen abzuleisten. Zeiten einer dienstlichen Veranstaltung nach § 81 des Soldatengesetzes werden auf den Wehrdienst nach Satz 5 nicht angerechnet. § 10 Absatz 2 Satz 4 gilt entsprechend.</w:t>
      </w:r>
    </w:p>
    <w:p>
      <w:r>
        <w:t xml:space="preserve">(3) Reserveunteroffiziere können in das Dienstverhältnis einer Berufssoldatin oder eines Berufssoldaten berufen werden, wenn sie mindestens den Dienstgrad eines Feldwebels erreicht, in ihrem Dienstgrad mindestens vier Monate Wehrdienst geleistet und sich dabei für ihre Berufung in das Dienstverhältnis einer Berufssoldatin oder eines Berufssoldaten als geeignet erwiesen haben. Für die Beförderungen im Dienstverhältnis einer Berufssoldatin oder eines Berufssoldaten ist die in der Bundeswehr tatsächlich geleistete Dienstzeit zugrunde zu legen.</w:t>
      </w:r>
    </w:p>
    <w:p>
      <w:r>
        <w:t xml:space="preserve">(4) Für die Berufung von Soldatinnen und Soldaten im Sinne des § 1 Satz 1 Nummer 2 bis 6, denen wegen ihrer besonderen Eignung für eine militärfachliche Verwendung der für ihre Dienststellung erforderliche Dienstgrad verliehen worden ist (§ 5 Absatz 3 Satz 1 Nummer 2), in das Dienstverhältnis einer Berufssoldatin oder eines Berufssoldaten gilt Absatz 3 Satz 1 entsprechend. Die Berufung ist nur mit Zustimmung des Bundespersonalausschusses zulässig.</w:t>
      </w:r>
    </w:p>
    <w:p>
      <w:r>
        <w:t xml:space="preserve">(5) § 13 Absatz 1 und § 17 Absatz 2 gelten entsprechend. Für Verwendungen im Truppendienst der Marine gilt dies mit der Maßgabe, dass an die Stelle der Bildungsvoraussetzungen des § 17 Absatz 2 der Besitz des nautischen Befähigungszeugnisses „Kapitän auf Schiffen mit einem Bruttoraumgehalt von 6 000 Bruttoraumzahlen in der mittleren Fahrt“ treten kann. Der jeweilige Dienstgrad wird für die Dauer der Wehrdienstleistung vorläufig verliehen. Er kann nach einem Wehrdienst von mindestens zwölf Tagen endgültig verliehen werden. Zeiten einer dienstlichen Veranstaltung nach § 81 des Soldatengesetzes werden auf den Wehrdienst nach Satz 4 nicht angerechnet. § 10 Absatz 2 Satz 4 gilt entsprechend.</w:t>
      </w:r>
    </w:p>
    <w:p>
      <w:r>
        <w:rPr>
          <w:color w:val="555555"/>
          <w:sz w:val="17"/>
        </w:rPr>
        <w:t xml:space="preserve">Zitiervorschlag: § 22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