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SLV 2002 — Beförderung der Feldwebel</w:t>
      </w:r>
    </w:p>
    <w:p>
      <w:r>
        <w:rPr>
          <w:color w:val="555555"/>
          <w:sz w:val="18"/>
        </w:rPr>
        <w:t xml:space="preserve">Soldatenlaufbahnverordnung</w:t>
      </w:r>
    </w:p>
    <w:p>
      <w:r>
        <w:rPr>
          <w:color w:val="555555"/>
          <w:sz w:val="18"/>
        </w:rPr>
        <w:t xml:space="preserve">Historische Fassung: Stand 10.06.2019 bis 05.06.2021. Dies ist nicht die aktuelle Fassung.</w:t>
      </w:r>
    </w:p>
    <w:p>
      <w:r>
        <w:t xml:space="preserve">(1) Die Beförderung zum Hauptfeldwebel setzt eine Dienstzeit von mindestens acht, für Angehörige des fliegenden Personals und für Personal, das als Kampfschwimmerin oder Kampfschwimmer oder im Kommando Spezialkräfte für besondere Einsätze verwendet wird, von mindestens sechs Jahren voraus. Die Beförderung von Soldatinnen und Soldaten im Dienstverhältnis einer Soldatin auf Zeit oder eines Soldaten auf Zeit zum Hauptfeldwebel setzt außerdem eine festgesetzte Dienstzeit von mindestens zwölf Jahren, bei Einstellung als Unteroffizier von mindestens elf, als Stabsunteroffizier von mindestens zehn Jahren und als Feldwebel von mindestens neun Jahren voraus.</w:t>
      </w:r>
    </w:p>
    <w:p>
      <w:r>
        <w:t xml:space="preserve">(2) Voraussetzungen für die Beförderung zum Oberstabsfeldwebel sind</w:t>
      </w:r>
    </w:p>
    <w:p>
      <w:pPr>
        <w:ind w:left="420"/>
      </w:pPr>
      <w:r>
        <w:t xml:space="preserve">1. eine Dienstzeit von mindestens 16 Jahren seit Ernennung zum Feldwebel und</w:t>
      </w:r>
    </w:p>
    <w:p>
      <w:pPr>
        <w:ind w:left="420"/>
      </w:pPr>
      <w:r>
        <w:t xml:space="preserve">2. eine Dienstzeit von mindestens sechs Jahren seit Ernennung zum Hauptfeldwebel.</w:t>
      </w:r>
    </w:p>
    <w:p>
      <w:r>
        <w:rPr>
          <w:color w:val="555555"/>
          <w:sz w:val="17"/>
        </w:rPr>
        <w:t xml:space="preserve">Zitiervorschlag: § 18 SLV 2002</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https://recht.nulegal.eu/gesetze/SLV%202002/18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