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SKleistMG (Brandenburg) — Stiftungsvermögen</w:t>
      </w:r>
    </w:p>
    <w:p>
      <w:r>
        <w:rPr>
          <w:color w:val="555555"/>
          <w:sz w:val="18"/>
        </w:rPr>
        <w:t xml:space="preserve">Gesetz über die Errichtung der Stiftung „Kleist-Museum“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Stiftung wird mit folgendem Vermögen ausgestattet:</w:t>
      </w:r>
    </w:p>
    <w:p>
      <w:r>
        <w:t xml:space="preserve">die in Anlage 1 aufgeführte Liegenschaft,</w:t>
      </w:r>
    </w:p>
    <w:p>
      <w:r>
        <w:t xml:space="preserve">die in Anlage 2 aufgeführte Literatur- und Kunstsammlung; ferner die Besitzrechte an Gegenständen, die durch die jeweiligen Leihgeber der Stiftung zur unentgeltlichen Nutzung überlassen werden,</w:t>
      </w:r>
    </w:p>
    <w:p>
      <w:r>
        <w:t xml:space="preserve">das in Anlage 3 aufgeführte Inventar.</w:t>
      </w:r>
    </w:p>
    <w:p>
      <w:r>
        <w:t xml:space="preserve">(2) Mit Inkrafttreten dieses Gesetzes geht das Eigentum an dem in Anlage 1 aufgeführten Vermögen auf die Stiftung entschädigungslos und ergebnisneutral über. Verpflichtungen, die sich aus dem Eigentum ergeben, gehen ebenfalls auf die Stiftung über.</w:t>
      </w:r>
    </w:p>
    <w:p>
      <w:r>
        <w:t xml:space="preserve">(3) Der Bund, das Land Brandenburg oder die Stadt Frankfurt (Oder) können der Stiftung weitere Liegenschaften übertragen.</w:t>
      </w:r>
    </w:p>
    <w:p>
      <w:r>
        <w:t xml:space="preserve">(4) Das Stiftungsvermögen ist in seinem Bestand dauernd und ungeschmälert zu erhalten.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3 SKleistMG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https://recht.nulegal.eu/gesetze/SKleistMG/3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