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SKAGEG</w:t>
      </w:r>
    </w:p>
    <w:p>
      <w:r>
        <w:rPr>
          <w:color w:val="555555"/>
          <w:sz w:val="18"/>
        </w:rPr>
        <w:t xml:space="preserve">Selbstverwaltungs- und Krankenversicherungsangleichungsgesetz Berlin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Gerichtsgebühren und andere Abgaben, die aus Anlaß und in Durchführung der Vorschriften der §§ 10 bis 12 entstehen, werden nicht erhoben; bare Auslagen bleiben außer Ansatz.</w:t>
      </w:r>
    </w:p>
    <w:p>
      <w:r>
        <w:rPr>
          <w:color w:val="555555"/>
          <w:sz w:val="17"/>
        </w:rPr>
        <w:t xml:space="preserve">Zitiervorschlag: § 14 SKAGEG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https://recht.nulegal.eu/gesetze/SKAGEG/14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