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SIVFPrV — Bewertung der Prüfungsleistungen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6 Absatz 2 jeweils einzeln zu bewerten. Sind in jeder Prüfungsleistung mindestens 50 Punkte erreicht worden, wird aus den einzelnen Bewertungen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7 Absatz 2 und</w:t>
      </w:r>
    </w:p>
    <w:p>
      <w:pPr>
        <w:ind w:left="420"/>
      </w:pPr>
      <w:r>
        <w:t xml:space="preserve">2. das Fachgespräch nach § 7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8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