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SISIIG — Anwendung der Bestimmungen des Beschlusses des Rates über die Einrichtung, den Betrieb und die Nutzung des Schengener Informationssystems der zweiten Generation (SIS II)</w:t>
      </w:r>
    </w:p>
    <w:p>
      <w:r>
        <w:rPr>
          <w:color w:val="555555"/>
          <w:sz w:val="18"/>
        </w:rPr>
        <w:t xml:space="preserve">SIS-II-Gesetz</w:t>
      </w:r>
    </w:p>
    <w:p>
      <w:r>
        <w:rPr>
          <w:color w:val="555555"/>
          <w:sz w:val="18"/>
        </w:rPr>
        <w:t xml:space="preserve">Historische Fassung: Stand 10.06.2019 bis 28.12.2022. Dies ist nicht die aktuelle Fassung.</w:t>
      </w:r>
    </w:p>
    <w:p>
      <w:r>
        <w:t xml:space="preserve">Die Bestimmungen des Beschlusses 2007/533/JI des Rates vom 12. Juni 2007 über die Einrichtung, den Betrieb und die Nutzung des Schengener Informationssystems der zweiten Generation (SIS II) (ABl. EU Nr. L 205 S. 63) sind anwendbar.</w:t>
      </w:r>
    </w:p>
    <w:p>
      <w:r>
        <w:rPr>
          <w:color w:val="555555"/>
          <w:sz w:val="17"/>
        </w:rPr>
        <w:t xml:space="preserve">Zitiervorschlag: Art 1 SISIIG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https://recht.nulegal.eu/gesetze/SISIIG/1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