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SINTEG-V — Erstattung des wirtschaftlichen Nachteils bei Letztverbrauchern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(1) Ein Teilnehmer, der Letztverbraucher ist, ist auch im Rahmen der Projekttätigkeit verpflichtet, das nach den Maßgaben der Stromnetzentgeltverordnung ermittelte Netzentgelt zu entrichten.</w:t>
      </w:r>
    </w:p>
    <w:p>
      <w:r>
        <w:t xml:space="preserve">(2) Der nach § 6 Absatz 1 zu erstattende wirtschaftliche Nachteil errechnet sich aus der Differenz zwischen dem nach Absatz 1 tatsächlich geschuldeten Netzentgelt und einem fiktiven Netzentgelt. Bei der Berechnung des fiktiven Netzentgelts bleiben die folgenden Parameter in dem Umfang unberücksichtigt, in welchem sie aufgrund der Projekttätigkeit in den in § 6 Absatz 2 genannten Zeiträumen erhöht oder verringert sind:</w:t>
      </w:r>
    </w:p>
    <w:p>
      <w:pPr>
        <w:ind w:left="420"/>
      </w:pPr>
      <w:r>
        <w:t xml:space="preserve">1. die Entnahmeleistung bei der Bestimmung der Jahreshöchstleistung nach § 17 Absatz 2 der Stromnetzentgeltverordnung,</w:t>
      </w:r>
    </w:p>
    <w:p>
      <w:pPr>
        <w:ind w:left="420"/>
      </w:pPr>
      <w:r>
        <w:t xml:space="preserve">2. die Entnahmeleistung innerhalb des Hochlastzeitfensters des Anschlussnetzes nach § 19 Absatz 2 Satz 1 der Stromnetzentgeltverordnung sowie</w:t>
      </w:r>
    </w:p>
    <w:p>
      <w:pPr>
        <w:ind w:left="420"/>
      </w:pPr>
      <w:r>
        <w:t xml:space="preserve">3. die Veränderung der Entnahmeleistung bei der Bestimmung der Benutzungsstunden nach § 19 Absatz 2 Satz 2 der Stromnetzentgeltverordnung.</w:t>
      </w:r>
    </w:p>
    <w:p>
      <w:r>
        <w:rPr>
          <w:color w:val="555555"/>
          <w:sz w:val="17"/>
        </w:rPr>
        <w:t xml:space="preserve">Zitiervorschlag: § 7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