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SINTEG-V — Auszahlung verbliebener Vorteile</w:t>
      </w:r>
    </w:p>
    <w:p>
      <w:r>
        <w:rPr>
          <w:color w:val="555555"/>
          <w:sz w:val="18"/>
        </w:rPr>
        <w:t xml:space="preserve">SINTEG-Verordnung</w:t>
      </w:r>
    </w:p>
    <w:p>
      <w:r>
        <w:rPr>
          <w:color w:val="555555"/>
          <w:sz w:val="18"/>
        </w:rPr>
        <w:t xml:space="preserve">Historische Fassung: Stand 10.06.2019 bis 01.07.2022. Dies ist nicht die aktuelle Fassung.</w:t>
      </w:r>
    </w:p>
    <w:p>
      <w:r>
        <w:t xml:space="preserve">Sofern nach der Anrechnung nach § 10 Absatz 1 noch wirtschaftliche Vorteile beim Teilnehmer verbleiben, ist er verpflichtet, diese Vorteile an den Netzbetreiber auszuzahlen, an dessen Netz die jeweilige Anlage angeschlossen ist.</w:t>
      </w:r>
    </w:p>
    <w:p>
      <w:r>
        <w:rPr>
          <w:color w:val="555555"/>
          <w:sz w:val="17"/>
        </w:rPr>
        <w:t xml:space="preserve">Zitiervorschlag: § 11 SINTEG-V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https://recht.nulegal.eu/gesetze/SINTEG-V/11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