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SIEBTER_RUNDFUNKAEND_STV (Brandenburg)</w:t>
      </w:r>
    </w:p>
    <w:p>
      <w:r>
        <w:rPr>
          <w:color w:val="555555"/>
          <w:sz w:val="18"/>
        </w:rPr>
        <w:t xml:space="preserve">Gesetz zu dem Siebten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Siebte Rundfunkänderungsstaatsvertrag nach seinem Artikel 6 Abs. 2 in Kraft tritt, ist im Gesetz- und Verordnungsblatt für das Land Brandenburg Teil I bekannt zu geben.</w:t>
      </w:r>
    </w:p>
    <w:p>
      <w:r>
        <w:t xml:space="preserve">Potsdam, den 13. Februar 2004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Staatsvertrag - Rundfunkstaatsvertrag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rPr>
          <w:color w:val="555555"/>
          <w:sz w:val="17"/>
        </w:rPr>
        <w:t xml:space="preserve">Zitiervorschlag: § 2 SIEBTER_RUNDFUNKAEND_STV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https://recht.nulegal.eu/gesetze/SIEBTER_RUNDFUNKAEND_STV/2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