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SHV</w:t>
      </w:r>
    </w:p>
    <w:p>
      <w:r>
        <w:rPr>
          <w:color w:val="555555"/>
          <w:sz w:val="18"/>
        </w:rPr>
        <w:t xml:space="preserve">Soldaten-Haushaltshilfen-Verordnung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31 Absatz 8 und des § 93 Absatz 3 Nummer 2 des Soldatengesetzes, von denen § 31 Absatz 8 durch Artikel 5 Nummer 8 des Gesetzes vom 13. Mai 2015 (BGBl. I S. 706) eingefügt und § 93 Absatz 3 Nummer 2 durch Artikel 5 Nummer 18 Buchstabe b desselben Gesetzes neu gefasst worden ist, verordnet das Bundesministerium der Verteidigung im Einvernehmen mit dem Bundesministerium des Innern und dem Bundesministerium der Finanzen:</w:t>
      </w:r>
    </w:p>
    <w:p>
      <w:r>
        <w:rPr>
          <w:color w:val="555555"/>
          <w:sz w:val="17"/>
        </w:rPr>
        <w:t xml:space="preserve">Zitiervorschlag: Eingangsformel SHV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