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SHV — Inkrafttreten</w:t>
      </w:r>
    </w:p>
    <w:p>
      <w:r>
        <w:rPr>
          <w:color w:val="555555"/>
          <w:sz w:val="18"/>
        </w:rPr>
        <w:t xml:space="preserve">Soldaten-Haushaltshilfen-Verordnung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Tag nach der Verkündung in Kraft.</w:t>
      </w:r>
    </w:p>
    <w:p>
      <w:r>
        <w:rPr>
          <w:color w:val="555555"/>
          <w:sz w:val="17"/>
        </w:rPr>
        <w:t xml:space="preserve">Zitiervorschlag: § 8 SHV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https://recht.nulegal.eu/gesetze/SHV/8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