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SHV — Begriffsbestimmungen</w:t>
      </w:r>
    </w:p>
    <w:p>
      <w:r>
        <w:rPr>
          <w:color w:val="555555"/>
          <w:sz w:val="18"/>
        </w:rPr>
        <w:t xml:space="preserve">Soldaten-Haushaltshilfen-Verordnung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Angehörige</w:t>
      </w:r>
    </w:p>
    <w:p>
      <w:pPr>
        <w:ind w:left="780"/>
      </w:pPr>
      <w:r>
        <w:t xml:space="preserve">a) die Ehegattin oder der Ehegatte,</w:t>
      </w:r>
    </w:p>
    <w:p>
      <w:pPr>
        <w:ind w:left="780"/>
      </w:pPr>
      <w:r>
        <w:t xml:space="preserve">b) die Lebenspartnerin oder der Lebenspartner,</w:t>
      </w:r>
    </w:p>
    <w:p>
      <w:pPr>
        <w:ind w:left="780"/>
      </w:pPr>
      <w:r>
        <w:t xml:space="preserve">c) in gerader Linie verwandte oder verschwägerte Personen,</w:t>
      </w:r>
    </w:p>
    <w:p>
      <w:pPr>
        <w:ind w:left="420"/>
      </w:pPr>
      <w:r>
        <w:t xml:space="preserve">2. Dauereinsatzaufgaben Einsatzaufgaben, die die Streitkräfte aufgrund nationaler oder internationaler Verpflichtungen ständig zu erfüllen haben,</w:t>
      </w:r>
    </w:p>
    <w:p>
      <w:pPr>
        <w:ind w:left="420"/>
      </w:pPr>
      <w:r>
        <w:t xml:space="preserve">3. einsatzgleiche Verpflichtungen für bestimmte Zeiträume gegenüber den Vereinten Nationen, der NATO oder der Europäischen Union erklärte Übernahme von Aufgaben mit Einsatzcharakter,</w:t>
      </w:r>
    </w:p>
    <w:p>
      <w:pPr>
        <w:ind w:left="420"/>
      </w:pPr>
      <w:r>
        <w:t xml:space="preserve">4. einsatzvorbereitende Ausbildung die für eine besondere Verwendung im Ausland notwendige Ausbildung,</w:t>
      </w:r>
    </w:p>
    <w:p>
      <w:pPr>
        <w:ind w:left="420"/>
      </w:pPr>
      <w:r>
        <w:t xml:space="preserve">5. Familien- und Haushaltshilfe eine Betreuungs- oder Pflegekraft, die nicht zu den nahen Bezugspersonen der Soldatin oder des Soldaten zählt,</w:t>
      </w:r>
    </w:p>
    <w:p>
      <w:pPr>
        <w:ind w:left="420"/>
      </w:pPr>
      <w:r>
        <w:t xml:space="preserve">6. Kinder</w:t>
      </w:r>
    </w:p>
    <w:p>
      <w:pPr>
        <w:ind w:left="780"/>
      </w:pPr>
      <w:r>
        <w:t xml:space="preserve">a) leibliche Kinder,</w:t>
      </w:r>
    </w:p>
    <w:p>
      <w:pPr>
        <w:ind w:left="780"/>
      </w:pPr>
      <w:r>
        <w:t xml:space="preserve">b) Adoptivkinder,</w:t>
      </w:r>
    </w:p>
    <w:p>
      <w:pPr>
        <w:ind w:left="780"/>
      </w:pPr>
      <w:r>
        <w:t xml:space="preserve">c) Kinder in Adoptionspflege oder Vollzeitpflege,</w:t>
      </w:r>
    </w:p>
    <w:p>
      <w:pPr>
        <w:ind w:left="780"/>
      </w:pPr>
      <w:r>
        <w:t xml:space="preserve">d) Kinder der Ehegattin des Soldaten oder des Ehegatten der Soldatin,</w:t>
      </w:r>
    </w:p>
    <w:p>
      <w:pPr>
        <w:ind w:left="780"/>
      </w:pPr>
      <w:r>
        <w:t xml:space="preserve">e) Kinder der Lebenspartnerin der Soldatin oder des Lebenspartners des Soldaten,</w:t>
      </w:r>
    </w:p>
    <w:p>
      <w:pPr>
        <w:ind w:left="420"/>
      </w:pPr>
      <w:r>
        <w:t xml:space="preserve">7. nahe Bezugspersonen der Soldatin oder des Soldaten</w:t>
      </w:r>
    </w:p>
    <w:p>
      <w:pPr>
        <w:ind w:left="780"/>
      </w:pPr>
      <w:r>
        <w:t xml:space="preserve">a) deren oder dessen Angehörige oder</w:t>
      </w:r>
    </w:p>
    <w:p>
      <w:pPr>
        <w:ind w:left="780"/>
      </w:pPr>
      <w:r>
        <w:t xml:space="preserve">b) Personen, die zwar keine Angehörigen sind, zu denen aber ein Vertrauensverhältnis besteht,</w:t>
      </w:r>
    </w:p>
    <w:p>
      <w:pPr>
        <w:ind w:left="420"/>
      </w:pPr>
      <w:r>
        <w:t xml:space="preserve">wenn sie in der Lage sind, die Betreuungs- oder Pflegeaufgaben zu übernehmen; Personen, die das Sorgerecht für das zu betreuende Kind haben, sind in der Regel nahe Bezugspersonen der Soldatin oder des Soldaten.</w:t>
      </w:r>
    </w:p>
    <w:p>
      <w:r>
        <w:rPr>
          <w:color w:val="555555"/>
          <w:sz w:val="17"/>
        </w:rPr>
        <w:t xml:space="preserve">Zitiervorschlag: § 2 SHV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