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SHStatG</w:t>
      </w:r>
    </w:p>
    <w:p>
      <w:r>
        <w:rPr>
          <w:color w:val="555555"/>
          <w:sz w:val="18"/>
        </w:rPr>
        <w:t xml:space="preserve">Gesetz über die Durchführung von Statistiken auf dem Gebiet der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In der Statistik der Kriegsopferfürsorge werden jährlich ab 2000 zweijährlich erfragt</w:t>
      </w:r>
    </w:p>
    <w:p>
      <w:pPr>
        <w:ind w:left="420"/>
      </w:pPr>
      <w:r>
        <w:t xml:space="preserve">1. die Zahl der Empfänger der Kriegsopferfürsorge und die Aufwendungen im Berichtsjahr, aufgegliedert nach Empfängergruppen und Leistungsarten,</w:t>
      </w:r>
    </w:p>
    <w:p>
      <w:pPr>
        <w:ind w:left="420"/>
      </w:pPr>
      <w:r>
        <w:t xml:space="preserve">2. die Einnahmen im Berichtsjahr, aufgegliedert nach Einnahmearten.</w:t>
      </w:r>
    </w:p>
    <w:p>
      <w:r>
        <w:rPr>
          <w:color w:val="555555"/>
          <w:sz w:val="17"/>
        </w:rPr>
        <w:t xml:space="preserve">Zitiervorschlag: § 3 SHStatG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