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SHStatG</w:t>
      </w:r>
    </w:p>
    <w:p>
      <w:r>
        <w:rPr>
          <w:color w:val="555555"/>
          <w:sz w:val="18"/>
        </w:rPr>
        <w:t xml:space="preserve">Gesetz über die Durchführung von Statistiken auf dem Gebiet der Kriegsopferfürsorge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Auf dem Gebiet der Kriegsopferfürsorge werden statistische Erhebungen als Bundesstatistik durchgeführt.</w:t>
      </w:r>
    </w:p>
    <w:p>
      <w:r>
        <w:t xml:space="preserve">(2) Die Bundesregierung wird ermächtigt, durch Rechtsverordnung mit Zustimmung des Bundesrates höchstens einmal in zwei Jahren Zusatzstatistiken über Sonderfragen auf diesem Gebiet anzuordnen.</w:t>
      </w:r>
    </w:p>
    <w:p>
      <w:r>
        <w:rPr>
          <w:color w:val="555555"/>
          <w:sz w:val="17"/>
        </w:rPr>
        <w:t xml:space="preserve">Zitiervorschlag: § 1 SHStatG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https://recht.nulegal.eu/gesetze/SHStatG/1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