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SHKAMAusbV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und auf Grund des § 25 Absatz 1 Satz 1 der Handwerksordnung,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