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SHKAMAusbV — Ziel, Aufteilung in zwei Teile und Zeitpunkte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Abschluss- oder Gesellenprüfung ist festzustellen, ob der Prüfling die berufliche Handlungsfähigkeit erworben hat.</w:t>
      </w:r>
    </w:p>
    <w:p>
      <w:r>
        <w:t xml:space="preserve">(2) Die Abschluss- oder Gesellenprüfung besteht aus den Teilen 1 und 2.</w:t>
      </w:r>
    </w:p>
    <w:p>
      <w:r>
        <w:t xml:space="preserve">(3) Teil 1 soll vor dem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