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SHKAMAusbV — Gegenstand der Berufsausbildung und Ausbildungsrahmenplan</w:t>
      </w:r>
    </w:p>
    <w:p>
      <w:r>
        <w:rPr>
          <w:color w:val="555555"/>
          <w:sz w:val="18"/>
        </w:rPr>
        <w:t xml:space="preserve">Sanitär-, Heizungs- und Klimatechnikanlagenmechanikerausbildungsverordnung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SHKAMAusbV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https://recht.nulegal.eu/gesetze/SHKAMAusbV/3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