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SHAbfWEinfStV (Bayern) — Kosten der Zentralen Koordinierungsstelle</w:t>
      </w:r>
    </w:p>
    <w:p>
      <w:r>
        <w:rPr>
          <w:color w:val="555555"/>
          <w:sz w:val="18"/>
        </w:rPr>
        <w:t xml:space="preserve">Staatsvertrag über die Bildung einer gemeinsamen Einrichtung nach § 6 Abs. 1 Satz 7 des Abfallverbringungsgesetzes 26. Oktober 1999 – 4. April 2000</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Finanzierung der aufwandsunabhängigen Festkosten (Personal- und Sachkosten) für die Zentrale Koordinierungsstelle wird ein jährlicher Betrag von 200 000 Deutsche Mark (= 102 258,37 Euro) festgesetzt. Erhöht sich künftig der vom Statistischen Bundesamt amtlich festgestellte Preisindex für die durchschnittlichen Lebenshaltungskosten aller privaten Haushalte in den alten Bundesländern (Basisjahr 1985: 100) gegenüber dem Jahr des In-Kraft-Tretens dieses Staatsvertrages, so ist die Zentrale Koordinierungsstelle berechtigt, die Erhöhung des Betrages nach Satz 1 in demselben prozentualen Verhältnis zu verlangen. Die Anpassung erfolgt mit der Aufforderung nach Absatz 4.</w:t>
      </w:r>
    </w:p>
    <w:p>
      <w:r>
        <w:t xml:space="preserve">(2) Aufwandsabhängige Mehraufwendungen bei den Sachkosten, insbesondere Kosten für Reisen, Gutachten, Rückführung und Entsorgung der Abfälle, erstatten die Länder dem Land Baden-Württemberg gegen Nachweis.</w:t>
      </w:r>
    </w:p>
    <w:p>
      <w:r>
        <w:t xml:space="preserve">(3) Tritt der Staatsvertrag gemäß Artikel 6 Satz 2 innerhalb eines laufenden Kalenderjahres in Kraft, so werden die Kosten gemäß den Absätzen 1 und 2 nach Maßgabe des Absatzes 4 anteilig, bezogen auf die Dauer der Wirksamkeit des Staatsvertrages in diesem Jahr auf die Länder verteilt.</w:t>
      </w:r>
    </w:p>
    <w:p>
      <w:r>
        <w:t xml:space="preserve">(4) Die Kosten nach den Absätzen 1 und 2 werden von allen Ländern nach einem entsprechend Bevölkerungszahl und Steueraufkommen gebildeten Verteilerschlüssel (Königsteiner Schlüssel) getragen. Die anteiligen Festkosten sind nach Aufforderung zum Ende des darauf folgenden Quartals für das laufende Kalenderjahr, die anteiligen Mehraufwendungen für das zurückliegende Kalenderjahr am Ende des auf die Rechnungslegung folgenden Kalendermonats fällig.</w:t>
      </w:r>
    </w:p>
    <w:p>
      <w:r>
        <w:t xml:space="preserve">(5) Die Zentrale Koordinierungsstelle macht ihre Aufwendungen gegenüber Verursachern, dem Solidarfonds Abfallrückführung und sonstigen erstattungspflichtigen Dritten geltend. Die von diesen erhaltenen Beträge werden im Folgejahr mit den Beträgen nach Absatz 4 verrechnet. Ein nach Verrechnung verbleibender Überschuss wird den Ländern im Verhältnis der von ihnen erbrachten Zahlungen erstattet.</w:t>
      </w:r>
    </w:p>
    <w:p>
      <w:r>
        <w:t xml:space="preserve">(6) Eine Erstattung von Kosten, die bei den nach Artikel 3 Unterstützung gewährenden Behörden angefallen sind, findet nicht statt.</w:t>
      </w:r>
    </w:p>
    <w:p>
      <w:r>
        <w:rPr>
          <w:color w:val="555555"/>
          <w:sz w:val="17"/>
        </w:rPr>
        <w:t xml:space="preserve">Zitiervorschlag: Art 4 SHAbfWEinfStV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https://recht.nulegal.eu/gesetze/SHAbfWEinfStV/4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