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SGleibWV</w:t>
      </w:r>
    </w:p>
    <w:p>
      <w:r>
        <w:rPr>
          <w:color w:val="555555"/>
          <w:sz w:val="18"/>
        </w:rPr>
        <w:t xml:space="preserve">Gleichstellungsbeauftragten-Wahlverordnung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Abs. 12 des Soldatinnen- und Soldatengleichstellungsgesetzes vom 27. Dezember 2004 (BGBl. I S. 3822) verordnet das Bundesministerium der Verteidigung:</w:t>
      </w:r>
    </w:p>
    <w:p>
      <w:r>
        <w:rPr>
          <w:color w:val="555555"/>
          <w:sz w:val="17"/>
        </w:rPr>
        <w:t xml:space="preserve">Zitiervorschlag: Eingangsformel SGleibWV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https://recht.nulegal.eu/gesetze/SGleibWV/eingangsformel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