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SGleibWV — Fristen</w:t>
      </w:r>
    </w:p>
    <w:p>
      <w:r>
        <w:rPr>
          <w:color w:val="555555"/>
          <w:sz w:val="18"/>
        </w:rPr>
        <w:t xml:space="preserve">Gleichstellungsbeauftragten-Wahlverordnung Soldatinnen</w:t>
      </w:r>
    </w:p>
    <w:p>
      <w:r>
        <w:rPr>
          <w:color w:val="555555"/>
          <w:sz w:val="18"/>
        </w:rPr>
        <w:t xml:space="preserve">Stand: 25.01.2024 (konsolidierte Textfassung, kein amtliches Inkrafttretensdatum)</w:t>
      </w:r>
    </w:p>
    <w:p>
      <w:r>
        <w:t xml:space="preserve">Die Wahl muss spätestens eine Woche vor Ablauf der laufenden Amtszeit der Gleichstellungsbeauftragten und ihrer Stellvertreterinnen abgeschlossen sein.</w:t>
      </w:r>
    </w:p>
    <w:p>
      <w:r>
        <w:rPr>
          <w:color w:val="555555"/>
          <w:sz w:val="17"/>
        </w:rPr>
        <w:t xml:space="preserve">Zitiervorschlag: § 5 SGleibWV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https://recht.nulegal.eu/gesetze/SGleibWV/5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