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SGleibWV — Wahlberechtigung</w:t>
      </w:r>
    </w:p>
    <w:p>
      <w:r>
        <w:rPr>
          <w:color w:val="555555"/>
          <w:sz w:val="18"/>
        </w:rPr>
        <w:t xml:space="preserve">Gleichstellungsbeauftragten-Wahlverordnung Soldatinnen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Stichtag für die Wahlberechtigung ist der Wahltag.</w:t>
      </w:r>
    </w:p>
    <w:p>
      <w:r>
        <w:t xml:space="preserve">(2) Voraussetzung für die Teilnahme an der Wahl ist die Eintragung in die Wählerinnenliste nach § 8.</w:t>
      </w:r>
    </w:p>
    <w:p>
      <w:r>
        <w:rPr>
          <w:color w:val="555555"/>
          <w:sz w:val="17"/>
        </w:rPr>
        <w:t xml:space="preserve">Zitiervorschlag: § 3 SGleibWV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https://recht.nulegal.eu/gesetze/SGleibWV/3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