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SGleibWV — Formen der Stimmabgabe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(1) Die Stimmabgabe erfolgt</w:t>
      </w:r>
    </w:p>
    <w:p>
      <w:pPr>
        <w:ind w:left="420"/>
      </w:pPr>
      <w:r>
        <w:t xml:space="preserve">1. persönlich im Wahlraum mittels Stimmzettel (§ 15),</w:t>
      </w:r>
    </w:p>
    <w:p>
      <w:pPr>
        <w:ind w:left="420"/>
      </w:pPr>
      <w:r>
        <w:t xml:space="preserve">2. bei Verhinderung durch Briefwahl (§ 17) oder</w:t>
      </w:r>
    </w:p>
    <w:p>
      <w:pPr>
        <w:ind w:left="420"/>
      </w:pPr>
      <w:r>
        <w:t xml:space="preserve">3. elektronisch unter den Voraussetzungen des § 19.</w:t>
      </w:r>
    </w:p>
    <w:p>
      <w:r>
        <w:t xml:space="preserve">(2) Die Dienststelle, der die Gleichstellungsbeauftragte und ihre Stellvertreterinnen zuzuordnen sind, kann abweichend von Absatz 1 entweder ausschließlich die Briefwahl oder statt der persönlichen Stimmabgabe im Wahlraum mittels Stimmzettel die elektronische Stimmabgabe anordnen. Diese Anordnung kann auf Dienststellenteile oder nachgeordnete oder zugehörende Dienststellen beschränkt sein.</w:t>
      </w:r>
    </w:p>
    <w:p>
      <w:r>
        <w:rPr>
          <w:color w:val="555555"/>
          <w:sz w:val="17"/>
        </w:rPr>
        <w:t xml:space="preserve">Zitiervorschlag: § 14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SGleibWV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