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SGleibWV — Bekanntgabe der Bewerbungen</w:t>
      </w:r>
    </w:p>
    <w:p>
      <w:r>
        <w:rPr>
          <w:color w:val="555555"/>
          <w:sz w:val="18"/>
        </w:rPr>
        <w:t xml:space="preserve">Gleichstellungsbeauftragten-Wahlverordnung Soldatinnen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Wahlvorstand gibt unverzüglich nach Ablauf der Bewerbungsfrist (§ 11 Abs. 2 Satz 1, § 12 Abs. 1 Satz 1 und 3) die Namen aus den gültigen Bewerbungen in gleicher Weise bekannt wie das Wahlausschreiben.</w:t>
      </w:r>
    </w:p>
    <w:p>
      <w:r>
        <w:rPr>
          <w:color w:val="555555"/>
          <w:sz w:val="17"/>
        </w:rPr>
        <w:t xml:space="preserve">Zitiervorschlag: § 13 SGleibWV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https://recht.nulegal.eu/gesetze/SGleibWV/13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