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67 SGleiG 2024 — Aufgaben</w:t>
      </w:r>
    </w:p>
    <w:p>
      <w:r>
        <w:rPr>
          <w:color w:val="555555"/>
          <w:sz w:val="18"/>
        </w:rPr>
        <w:t xml:space="preserve">Soldatinnen- und Soldatengleichstellungsgesetz</w:t>
      </w:r>
    </w:p>
    <w:p>
      <w:r>
        <w:rPr>
          <w:color w:val="555555"/>
          <w:sz w:val="18"/>
        </w:rPr>
        <w:t xml:space="preserve">Stand: 25.01.2024 (konsolidierte Textfassung, kein amtliches Inkrafttretensdatum)</w:t>
      </w:r>
    </w:p>
    <w:p>
      <w:r>
        <w:t xml:space="preserve">(1) Die Gleichstellungsvertrauensfrau</w:t>
      </w:r>
    </w:p>
    <w:p>
      <w:pPr>
        <w:ind w:left="420"/>
      </w:pPr>
      <w:r>
        <w:t xml:space="preserve">1. ist Ansprechpartnerin</w:t>
      </w:r>
    </w:p>
    <w:p>
      <w:pPr>
        <w:ind w:left="780"/>
      </w:pPr>
      <w:r>
        <w:t xml:space="preserve">a) für das militärische Personal der Dienststelle und</w:t>
      </w:r>
    </w:p>
    <w:p>
      <w:pPr>
        <w:ind w:left="780"/>
      </w:pPr>
      <w:r>
        <w:t xml:space="preserve">b) der zuständigen Gleichstellungsbeauftragten und</w:t>
      </w:r>
    </w:p>
    <w:p>
      <w:pPr>
        <w:ind w:left="420"/>
      </w:pPr>
      <w:r>
        <w:t xml:space="preserve">2. vermittelt Informationen zwischen dem militärischen Personal und der zuständigen Gleichstellungsbeauftragten und</w:t>
      </w:r>
    </w:p>
    <w:p>
      <w:pPr>
        <w:ind w:left="420"/>
      </w:pPr>
      <w:r>
        <w:t xml:space="preserve">3. berät die zuständige Gleichstellungsbeauftragte in allen Fragen, die die Dienststelle betreffen.</w:t>
      </w:r>
    </w:p>
    <w:p>
      <w:r>
        <w:t xml:space="preserve">(2) Die Gleichstellungsbeauftragte kann der Gleichstellungsvertrauensfrau mit deren Einverständnis eigene Aufgaben übertragen. Die Übertragung ist der Dienststelle mitzuteilen.</w:t>
      </w:r>
    </w:p>
    <w:p>
      <w:r>
        <w:rPr>
          <w:color w:val="555555"/>
          <w:sz w:val="17"/>
        </w:rPr>
        <w:t xml:space="preserve">Zitiervorschlag: § 67 SGleiG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https://recht.nulegal.eu/gesetze/SGleiG%202024/67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67 SGleiG 2024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