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SGZDVertrAnO</w:t>
      </w:r>
    </w:p>
    <w:p>
      <w:r>
        <w:rPr>
          <w:color w:val="555555"/>
          <w:sz w:val="18"/>
        </w:rPr>
        <w:t xml:space="preserve">Allgemeine Anordnung über die Vertretung der Bundesrepublik Deutschland vor den Gerichten der Sozialgerichtsbarkeit im Bereich des Zivildienstes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Anordnung tritt am Tage nach der Veröffentlichung im Bundesgesetzblatt in Kraft.</w:t>
      </w:r>
    </w:p>
    <w:p>
      <w:r>
        <w:rPr>
          <w:color w:val="555555"/>
          <w:sz w:val="17"/>
        </w:rPr>
        <w:t xml:space="preserve">Zitiervorschlag: § 2 SGZDVertrAnO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https://recht.nulegal.eu/gesetze/SGZDVertrAnO/2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