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Klageerhebung wird ein neuer Verwaltungsakt nur dann Gegenstand des Klageverfahrens, wenn er nach Erlass des Widerspruchsbescheides ergangen ist und den angefochtenen Verwaltungsakt abändert oder ersetzt.</w:t>
      </w:r>
    </w:p>
    <w:p>
      <w:r>
        <w:t xml:space="preserve">(2) Eine Abschrift des neuen Verwaltungsakts ist dem Gericht mitzuteilen, bei dem das Verfahren anhängig ist.</w:t>
      </w:r>
    </w:p>
    <w:p>
      <w:r>
        <w:rPr>
          <w:color w:val="555555"/>
          <w:sz w:val="17"/>
        </w:rPr>
        <w:t xml:space="preserve">Zitiervorschlag: § 96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