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Frist für die Erhebung der Klage gilt auch dann als gewahrt, wenn die Klageschrift innerhalb der Frist statt bei dem zuständigen Gericht der Sozialgerichtsbarkeit bei einer anderen inländischen Behörde oder bei einem Versicherungsträger oder bei einer deutschen Konsularbehörde oder, soweit es sich um die Versicherung von Seeleuten handelt, auch bei einem deutschen Seemannsamt im Ausland eingegangen ist.</w:t>
      </w:r>
    </w:p>
    <w:p>
      <w:r>
        <w:t xml:space="preserve">(2) Die Klageschrift ist unverzüglich an das zuständige Gericht der Sozialgerichtsbarkeit abzugeben.</w:t>
      </w:r>
    </w:p>
    <w:p>
      <w:r>
        <w:rPr>
          <w:color w:val="555555"/>
          <w:sz w:val="17"/>
        </w:rPr>
        <w:t xml:space="preserve">Zitiervorschlag: § 91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