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Klage ist binnen eines Monats nach Bekanntgabe des Verwaltungsakts zu erheben. Die Frist beträgt bei Bekanntgabe im Ausland drei Monate. Bei einer öffentlichen Bekanntgabe nach § 85 Abs. 4 beträgt die Frist ein Jahr. Die Frist beginnt mit dem Tag zu laufen, an dem seit dem Tag der letzten Veröffentlichung zwei Wochen verstrichen sind.</w:t>
      </w:r>
    </w:p>
    <w:p>
      <w:r>
        <w:t xml:space="preserve">(2) Hat ein Vorverfahren stattgefunden, so beginnt die Frist mit der Bekanntgabe des Widerspruchsbescheids.</w:t>
      </w:r>
    </w:p>
    <w:p>
      <w:r>
        <w:rPr>
          <w:color w:val="555555"/>
          <w:sz w:val="17"/>
        </w:rPr>
        <w:t xml:space="preserve">Zitiervorschlag: § 87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https://recht.nulegal.eu/gesetze/SGG/87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