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Erhebung der Anfechtungsklage sind Rechtmäßigkeit und Zweckmäßigkeit des Verwaltungsakts in einem Vorverfahren nachzuprüfen. Eines Vorverfahrens bedarf es nicht, wenn</w:t>
      </w:r>
    </w:p>
    <w:p>
      <w:pPr>
        <w:ind w:left="420"/>
      </w:pPr>
      <w:r>
        <w:t xml:space="preserve">1. ein Gesetz dies für besondere Fälle bestimmt oder</w:t>
      </w:r>
    </w:p>
    <w:p>
      <w:pPr>
        <w:ind w:left="420"/>
      </w:pPr>
      <w:r>
        <w:t xml:space="preserve">2. der Verwaltungsakt von einer obersten Bundesbehörde, einer obersten Landesbehörde oder von dem Vorstand der Bundesagentur für Arbeit erlassen worden ist, außer wenn ein Gesetz die Nachprüfung vorschreibt, oder</w:t>
      </w:r>
    </w:p>
    <w:p>
      <w:pPr>
        <w:ind w:left="420"/>
      </w:pPr>
      <w:r>
        <w:t xml:space="preserve">3. ein Land, ein Versicherungsträger oder einer seiner Verbände klagen will.</w:t>
      </w:r>
    </w:p>
    <w:p>
      <w:r>
        <w:t xml:space="preserve">(2) (weggefallen)</w:t>
      </w:r>
    </w:p>
    <w:p>
      <w:r>
        <w:t xml:space="preserve">(3) Für die Verpflichtungsklage gilt Absatz 1 entsprechend, wenn der Antrag auf Vornahme des Verwaltungsakts abgelehnt worden ist.</w:t>
      </w:r>
    </w:p>
    <w:p>
      <w:r>
        <w:rPr>
          <w:color w:val="555555"/>
          <w:sz w:val="17"/>
        </w:rPr>
        <w:t xml:space="preserve">Zitiervorschlag: § 78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